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4B0B9C">
        <w:rPr>
          <w:rFonts w:asciiTheme="minorHAnsi" w:hAnsiTheme="minorHAnsi" w:cs="Arial"/>
          <w:b/>
          <w:sz w:val="28"/>
          <w:szCs w:val="28"/>
        </w:rPr>
        <w:t>2</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4B0B9C">
        <w:rPr>
          <w:rFonts w:asciiTheme="minorHAnsi" w:hAnsiTheme="minorHAnsi"/>
          <w:b/>
          <w:sz w:val="28"/>
          <w:szCs w:val="28"/>
        </w:rPr>
        <w:t>2</w:t>
      </w:r>
      <w:r w:rsidR="009979D1" w:rsidRPr="00164A46">
        <w:rPr>
          <w:rFonts w:asciiTheme="minorHAnsi" w:hAnsiTheme="minorHAnsi"/>
          <w:b/>
          <w:sz w:val="28"/>
          <w:szCs w:val="28"/>
        </w:rPr>
        <w:t xml:space="preserve"> – </w:t>
      </w:r>
      <w:r w:rsidR="004B0B9C">
        <w:rPr>
          <w:rFonts w:asciiTheme="minorHAnsi" w:hAnsiTheme="minorHAnsi"/>
          <w:b/>
          <w:sz w:val="28"/>
          <w:szCs w:val="28"/>
        </w:rPr>
        <w:t>INFORTUNI</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Pr="004A2118"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p w:rsidR="001A1CFE" w:rsidRDefault="001A1CFE" w:rsidP="001A1CFE">
      <w:pPr>
        <w:pStyle w:val="Corpodeltesto"/>
        <w:jc w:val="center"/>
        <w:rPr>
          <w:rFonts w:asciiTheme="minorHAnsi" w:hAnsiTheme="minorHAnsi"/>
          <w:b/>
          <w:sz w:val="22"/>
          <w:szCs w:val="22"/>
        </w:rPr>
      </w:pPr>
    </w:p>
    <w:tbl>
      <w:tblPr>
        <w:tblW w:w="10065" w:type="dxa"/>
        <w:tblInd w:w="56" w:type="dxa"/>
        <w:tblLayout w:type="fixed"/>
        <w:tblCellMar>
          <w:top w:w="55" w:type="dxa"/>
          <w:left w:w="56" w:type="dxa"/>
          <w:right w:w="57" w:type="dxa"/>
        </w:tblCellMar>
        <w:tblLook w:val="00A0"/>
      </w:tblPr>
      <w:tblGrid>
        <w:gridCol w:w="567"/>
        <w:gridCol w:w="1985"/>
        <w:gridCol w:w="4819"/>
        <w:gridCol w:w="993"/>
        <w:gridCol w:w="1701"/>
      </w:tblGrid>
      <w:tr w:rsidR="008A60B9" w:rsidRPr="00737FFE" w:rsidTr="00C44F08">
        <w:trPr>
          <w:trHeight w:val="388"/>
        </w:trPr>
        <w:tc>
          <w:tcPr>
            <w:tcW w:w="10065" w:type="dxa"/>
            <w:gridSpan w:val="5"/>
            <w:tcBorders>
              <w:top w:val="double" w:sz="4" w:space="0" w:color="auto"/>
              <w:left w:val="double" w:sz="4" w:space="0" w:color="auto"/>
              <w:bottom w:val="double" w:sz="4" w:space="0" w:color="auto"/>
              <w:right w:val="double" w:sz="4" w:space="0" w:color="auto"/>
            </w:tcBorders>
            <w:shd w:val="clear" w:color="auto" w:fill="CCCCCC"/>
          </w:tcPr>
          <w:p w:rsidR="008A60B9" w:rsidRPr="00737FFE" w:rsidRDefault="008A60B9" w:rsidP="00692C62">
            <w:pPr>
              <w:pStyle w:val="Standard"/>
              <w:spacing w:after="0" w:line="320" w:lineRule="exact"/>
              <w:ind w:left="35" w:right="217"/>
              <w:jc w:val="center"/>
              <w:rPr>
                <w:rFonts w:ascii="Garamond" w:hAnsi="Garamond"/>
                <w:b/>
                <w:color w:val="000000"/>
                <w:sz w:val="20"/>
                <w:szCs w:val="20"/>
                <w:lang w:val="it-IT"/>
              </w:rPr>
            </w:pPr>
            <w:r w:rsidRPr="00737FFE">
              <w:rPr>
                <w:rFonts w:ascii="Garamond" w:hAnsi="Garamond"/>
                <w:b/>
                <w:sz w:val="20"/>
                <w:szCs w:val="20"/>
                <w:lang w:val="it-IT"/>
              </w:rPr>
              <w:t xml:space="preserve">ELEMENTI QUANTITATIVI  - </w:t>
            </w:r>
            <w:proofErr w:type="spellStart"/>
            <w:r w:rsidRPr="00737FFE">
              <w:rPr>
                <w:rFonts w:ascii="Garamond" w:hAnsi="Garamond"/>
                <w:b/>
                <w:color w:val="000000"/>
                <w:sz w:val="20"/>
                <w:szCs w:val="20"/>
                <w:lang w:val="it-IT"/>
              </w:rPr>
              <w:t>max</w:t>
            </w:r>
            <w:proofErr w:type="spellEnd"/>
            <w:r w:rsidRPr="00737FFE">
              <w:rPr>
                <w:rFonts w:ascii="Garamond" w:hAnsi="Garamond"/>
                <w:b/>
                <w:color w:val="000000"/>
                <w:sz w:val="20"/>
                <w:szCs w:val="20"/>
                <w:lang w:val="it-IT"/>
              </w:rPr>
              <w:t xml:space="preserve"> punti 70</w:t>
            </w:r>
            <w:r w:rsidRPr="00737FFE">
              <w:rPr>
                <w:rFonts w:ascii="Garamond" w:hAnsi="Garamond"/>
                <w:color w:val="000000"/>
                <w:sz w:val="20"/>
                <w:szCs w:val="20"/>
                <w:lang w:val="it-IT"/>
              </w:rPr>
              <w:t xml:space="preserve"> </w:t>
            </w:r>
          </w:p>
        </w:tc>
      </w:tr>
      <w:tr w:rsidR="00327F42" w:rsidRPr="00327F42" w:rsidTr="00347F51">
        <w:trPr>
          <w:trHeight w:val="902"/>
        </w:trPr>
        <w:tc>
          <w:tcPr>
            <w:tcW w:w="2552" w:type="dxa"/>
            <w:gridSpan w:val="2"/>
            <w:tcBorders>
              <w:top w:val="double" w:sz="4" w:space="0" w:color="auto"/>
              <w:left w:val="double" w:sz="4" w:space="0" w:color="auto"/>
              <w:bottom w:val="double" w:sz="4" w:space="0" w:color="auto"/>
              <w:right w:val="single" w:sz="2" w:space="0" w:color="000000"/>
            </w:tcBorders>
            <w:shd w:val="pct10" w:color="auto" w:fill="auto"/>
            <w:vAlign w:val="center"/>
          </w:tcPr>
          <w:p w:rsidR="00327F42" w:rsidRPr="00327F42" w:rsidRDefault="00327F42" w:rsidP="00692C62">
            <w:pPr>
              <w:pStyle w:val="Standard"/>
              <w:spacing w:after="0" w:line="320" w:lineRule="exact"/>
              <w:ind w:left="35" w:right="217"/>
              <w:jc w:val="center"/>
              <w:rPr>
                <w:rFonts w:ascii="Garamond" w:hAnsi="Garamond"/>
                <w:sz w:val="16"/>
                <w:szCs w:val="16"/>
                <w:lang w:val="it-IT"/>
              </w:rPr>
            </w:pPr>
            <w:r w:rsidRPr="00327F42">
              <w:rPr>
                <w:rFonts w:ascii="Garamond" w:hAnsi="Garamond"/>
                <w:b/>
                <w:sz w:val="16"/>
                <w:szCs w:val="16"/>
                <w:lang w:val="it-IT"/>
              </w:rPr>
              <w:t xml:space="preserve">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4819" w:type="dxa"/>
            <w:tcBorders>
              <w:top w:val="double" w:sz="4" w:space="0" w:color="auto"/>
              <w:left w:val="single" w:sz="2" w:space="0" w:color="000000"/>
              <w:bottom w:val="double" w:sz="4" w:space="0" w:color="auto"/>
              <w:right w:val="single" w:sz="2" w:space="0" w:color="000000"/>
            </w:tcBorders>
            <w:shd w:val="pct10" w:color="auto" w:fill="auto"/>
            <w:vAlign w:val="center"/>
          </w:tcPr>
          <w:p w:rsidR="00327F42" w:rsidRPr="00327F42" w:rsidRDefault="00327F42" w:rsidP="00692C6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SUB-CRITERI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993" w:type="dxa"/>
            <w:tcBorders>
              <w:top w:val="double" w:sz="4" w:space="0" w:color="auto"/>
              <w:left w:val="single" w:sz="2" w:space="0" w:color="000000"/>
              <w:bottom w:val="double" w:sz="4" w:space="0" w:color="auto"/>
              <w:right w:val="single" w:sz="2" w:space="0" w:color="000000"/>
            </w:tcBorders>
            <w:shd w:val="pct10" w:color="auto" w:fill="auto"/>
            <w:vAlign w:val="center"/>
          </w:tcPr>
          <w:p w:rsidR="00327F42" w:rsidRPr="00327F42" w:rsidRDefault="00327F42" w:rsidP="00327F4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PUNTI </w:t>
            </w:r>
          </w:p>
        </w:tc>
        <w:tc>
          <w:tcPr>
            <w:tcW w:w="1701" w:type="dxa"/>
            <w:tcBorders>
              <w:top w:val="double" w:sz="4" w:space="0" w:color="auto"/>
              <w:left w:val="single" w:sz="2" w:space="0" w:color="000000"/>
              <w:bottom w:val="double" w:sz="4" w:space="0" w:color="auto"/>
              <w:right w:val="double" w:sz="4" w:space="0" w:color="auto"/>
            </w:tcBorders>
            <w:shd w:val="pct10" w:color="auto" w:fill="auto"/>
          </w:tcPr>
          <w:p w:rsidR="00327F42" w:rsidRPr="00327F42" w:rsidRDefault="00327F42" w:rsidP="00692C62">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OFFERTA DEL CONCORRENTE –</w:t>
            </w:r>
            <w:r>
              <w:rPr>
                <w:rFonts w:ascii="Garamond" w:hAnsi="Garamond"/>
                <w:b/>
                <w:sz w:val="16"/>
                <w:szCs w:val="16"/>
                <w:lang w:val="it-IT"/>
              </w:rPr>
              <w:t xml:space="preserve"> </w:t>
            </w:r>
            <w:r w:rsidRPr="00327F42">
              <w:rPr>
                <w:rFonts w:ascii="Garamond" w:hAnsi="Garamond"/>
                <w:b/>
                <w:sz w:val="16"/>
                <w:szCs w:val="16"/>
                <w:lang w:val="it-IT"/>
              </w:rPr>
              <w:t xml:space="preserve"> BARRARE SOLO L’OPZIONE OFFERTA</w:t>
            </w:r>
          </w:p>
        </w:tc>
      </w:tr>
      <w:tr w:rsidR="00347F51" w:rsidRPr="00737FFE" w:rsidTr="00347F51">
        <w:trPr>
          <w:trHeight w:val="4170"/>
        </w:trPr>
        <w:tc>
          <w:tcPr>
            <w:tcW w:w="567" w:type="dxa"/>
            <w:tcBorders>
              <w:top w:val="double" w:sz="4" w:space="0" w:color="auto"/>
              <w:left w:val="double" w:sz="4" w:space="0" w:color="auto"/>
              <w:bottom w:val="single" w:sz="4" w:space="0" w:color="000000"/>
              <w:right w:val="single" w:sz="2" w:space="0" w:color="000000"/>
            </w:tcBorders>
            <w:vAlign w:val="center"/>
          </w:tcPr>
          <w:p w:rsidR="00347F51" w:rsidRPr="00737FFE" w:rsidRDefault="00347F51"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t>1</w:t>
            </w:r>
          </w:p>
        </w:tc>
        <w:tc>
          <w:tcPr>
            <w:tcW w:w="6804" w:type="dxa"/>
            <w:gridSpan w:val="2"/>
            <w:tcBorders>
              <w:top w:val="double" w:sz="4" w:space="0" w:color="auto"/>
              <w:left w:val="single" w:sz="2" w:space="0" w:color="000000"/>
              <w:bottom w:val="single" w:sz="4" w:space="0" w:color="000000"/>
              <w:right w:val="single" w:sz="2" w:space="0" w:color="000000"/>
            </w:tcBorders>
            <w:vAlign w:val="center"/>
          </w:tcPr>
          <w:p w:rsidR="00347F51" w:rsidRPr="00347F51" w:rsidRDefault="00347F51" w:rsidP="00347F51">
            <w:pPr>
              <w:pStyle w:val="Standard"/>
              <w:spacing w:after="0" w:line="320" w:lineRule="exact"/>
              <w:ind w:left="35" w:right="217"/>
              <w:rPr>
                <w:rFonts w:ascii="Garamond" w:hAnsi="Garamond" w:cs="Arial"/>
                <w:i/>
                <w:iCs/>
                <w:sz w:val="20"/>
                <w:szCs w:val="20"/>
                <w:lang w:val="it-IT"/>
              </w:rPr>
            </w:pPr>
            <w:r w:rsidRPr="00347F51">
              <w:rPr>
                <w:rFonts w:ascii="Garamond" w:hAnsi="Garamond" w:cs="Arial"/>
                <w:i/>
                <w:iCs/>
                <w:sz w:val="20"/>
                <w:szCs w:val="20"/>
                <w:lang w:val="it-IT"/>
              </w:rPr>
              <w:t>(articolo che andrebbe a sostituire il rispettivo articolo previsto alla SEZIONE 2 del capitolato)</w:t>
            </w:r>
          </w:p>
          <w:p w:rsidR="00347F51" w:rsidRPr="00347F51" w:rsidRDefault="00347F51" w:rsidP="00347F51">
            <w:pPr>
              <w:widowControl w:val="0"/>
              <w:autoSpaceDE w:val="0"/>
              <w:autoSpaceDN w:val="0"/>
              <w:adjustRightInd w:val="0"/>
              <w:ind w:left="170" w:right="113"/>
              <w:rPr>
                <w:rFonts w:ascii="Garamond" w:hAnsi="Garamond" w:cs="Arial"/>
                <w:b/>
                <w:bCs/>
              </w:rPr>
            </w:pPr>
            <w:r w:rsidRPr="00347F51">
              <w:rPr>
                <w:rFonts w:ascii="Garamond" w:hAnsi="Garamond" w:cs="Arial"/>
                <w:b/>
                <w:bCs/>
              </w:rPr>
              <w:t>Art. 6 - Recesso in caso di Sinistro</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Il recesso avrà effetto dalla scadenza annuale ovvero, se comunicato meno di 120 (centoventi) giorni prima di detta scadenza, dalla scadenza annua successiva.</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Non è ammesso il recesso della Società dalla garanzia di singoli rischi o parti dell'assicurazione, salvo esplicita accettazione dell'Assicurato e conseguente riduzione del premio.</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rateo di premio dovrà essere anticipato in via provvisoria da parte del Contraente.</w:t>
            </w:r>
          </w:p>
          <w:p w:rsidR="00347F51" w:rsidRPr="00347F51" w:rsidRDefault="00347F51" w:rsidP="00347F51">
            <w:pPr>
              <w:widowControl w:val="0"/>
              <w:autoSpaceDE w:val="0"/>
              <w:autoSpaceDN w:val="0"/>
              <w:adjustRightInd w:val="0"/>
              <w:rPr>
                <w:rFonts w:ascii="Garamond" w:hAnsi="Garamond"/>
              </w:rPr>
            </w:pPr>
            <w:r w:rsidRPr="00347F51">
              <w:rPr>
                <w:rFonts w:ascii="Garamond" w:hAnsi="Garamond" w:cs="Arial"/>
              </w:rPr>
              <w:t>In caso di proroga dell’assicurazione per il pagamento del relativo premio vale il termine di rispetto contrattualmente previsto per il pagamento delle rate successive</w:t>
            </w:r>
          </w:p>
        </w:tc>
        <w:tc>
          <w:tcPr>
            <w:tcW w:w="993" w:type="dxa"/>
            <w:tcBorders>
              <w:top w:val="double" w:sz="4" w:space="0" w:color="auto"/>
              <w:left w:val="single" w:sz="2" w:space="0" w:color="000000"/>
              <w:bottom w:val="single" w:sz="4" w:space="0" w:color="000000"/>
              <w:right w:val="single" w:sz="2" w:space="0" w:color="000000"/>
            </w:tcBorders>
            <w:vAlign w:val="center"/>
          </w:tcPr>
          <w:p w:rsidR="00347F51" w:rsidRPr="00737FFE" w:rsidRDefault="00347F51"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5</w:t>
            </w:r>
          </w:p>
        </w:tc>
        <w:tc>
          <w:tcPr>
            <w:tcW w:w="1701" w:type="dxa"/>
            <w:tcBorders>
              <w:top w:val="double" w:sz="4" w:space="0" w:color="auto"/>
              <w:left w:val="single" w:sz="2" w:space="0" w:color="000000"/>
              <w:bottom w:val="single" w:sz="4" w:space="0" w:color="000000"/>
              <w:right w:val="double" w:sz="4" w:space="0" w:color="auto"/>
            </w:tcBorders>
          </w:tcPr>
          <w:p w:rsidR="00347F51" w:rsidRPr="00737FFE" w:rsidRDefault="00347F51" w:rsidP="00692C62">
            <w:pPr>
              <w:pStyle w:val="Standard"/>
              <w:spacing w:after="0" w:line="320" w:lineRule="exact"/>
              <w:ind w:left="86" w:right="217"/>
              <w:jc w:val="center"/>
              <w:rPr>
                <w:rFonts w:ascii="Garamond" w:hAnsi="Garamond"/>
                <w:sz w:val="20"/>
                <w:szCs w:val="20"/>
                <w:lang w:val="it-IT"/>
              </w:rPr>
            </w:pPr>
          </w:p>
        </w:tc>
      </w:tr>
      <w:tr w:rsidR="00347F51" w:rsidRPr="00737FFE" w:rsidTr="00347F51">
        <w:trPr>
          <w:trHeight w:val="5650"/>
        </w:trPr>
        <w:tc>
          <w:tcPr>
            <w:tcW w:w="567" w:type="dxa"/>
            <w:tcBorders>
              <w:top w:val="single" w:sz="4" w:space="0" w:color="000000"/>
              <w:left w:val="double" w:sz="4" w:space="0" w:color="auto"/>
              <w:bottom w:val="single" w:sz="2" w:space="0" w:color="000000"/>
              <w:right w:val="single" w:sz="2" w:space="0" w:color="000000"/>
            </w:tcBorders>
            <w:vAlign w:val="center"/>
          </w:tcPr>
          <w:p w:rsidR="00347F51" w:rsidRPr="00737FFE" w:rsidRDefault="00347F51" w:rsidP="00692C62">
            <w:pPr>
              <w:pStyle w:val="Standard"/>
              <w:spacing w:after="0" w:line="320" w:lineRule="exact"/>
              <w:ind w:left="35" w:right="217"/>
              <w:jc w:val="center"/>
              <w:rPr>
                <w:rFonts w:ascii="Garamond" w:hAnsi="Garamond"/>
                <w:sz w:val="20"/>
                <w:szCs w:val="20"/>
                <w:lang w:val="it-IT"/>
              </w:rPr>
            </w:pPr>
            <w:r w:rsidRPr="00737FFE">
              <w:rPr>
                <w:rFonts w:ascii="Garamond" w:hAnsi="Garamond"/>
                <w:sz w:val="20"/>
                <w:szCs w:val="20"/>
                <w:lang w:val="it-IT"/>
              </w:rPr>
              <w:lastRenderedPageBreak/>
              <w:t>2</w:t>
            </w:r>
          </w:p>
        </w:tc>
        <w:tc>
          <w:tcPr>
            <w:tcW w:w="6804" w:type="dxa"/>
            <w:gridSpan w:val="2"/>
            <w:tcBorders>
              <w:top w:val="single" w:sz="4" w:space="0" w:color="000000"/>
              <w:left w:val="single" w:sz="2" w:space="0" w:color="000000"/>
              <w:right w:val="single" w:sz="2" w:space="0" w:color="000000"/>
            </w:tcBorders>
            <w:vAlign w:val="center"/>
          </w:tcPr>
          <w:p w:rsidR="00347F51" w:rsidRPr="00347F51" w:rsidRDefault="00347F51" w:rsidP="00347F51">
            <w:pPr>
              <w:pStyle w:val="Standard"/>
              <w:spacing w:after="0" w:line="240" w:lineRule="auto"/>
              <w:ind w:left="35" w:right="217"/>
              <w:rPr>
                <w:rFonts w:ascii="Garamond" w:hAnsi="Garamond" w:cs="Arial"/>
                <w:i/>
                <w:iCs/>
                <w:sz w:val="20"/>
                <w:szCs w:val="20"/>
                <w:lang w:val="it-IT"/>
              </w:rPr>
            </w:pPr>
            <w:r w:rsidRPr="00347F51">
              <w:rPr>
                <w:rFonts w:ascii="Garamond" w:hAnsi="Garamond" w:cs="Arial"/>
                <w:i/>
                <w:iCs/>
                <w:sz w:val="20"/>
                <w:szCs w:val="20"/>
                <w:lang w:val="it-IT"/>
              </w:rPr>
              <w:t>(articoli che si andrebbero ad aggiungere alla SEZIONE 3 del capitolato)</w:t>
            </w:r>
          </w:p>
          <w:p w:rsidR="00347F51" w:rsidRPr="00347F51" w:rsidRDefault="00347F51" w:rsidP="00347F51">
            <w:pPr>
              <w:widowControl w:val="0"/>
              <w:autoSpaceDE w:val="0"/>
              <w:autoSpaceDN w:val="0"/>
              <w:adjustRightInd w:val="0"/>
              <w:ind w:left="170" w:right="113"/>
              <w:rPr>
                <w:rFonts w:ascii="Garamond" w:hAnsi="Garamond" w:cs="Arial"/>
                <w:b/>
                <w:bCs/>
              </w:rPr>
            </w:pPr>
            <w:r w:rsidRPr="00347F51">
              <w:rPr>
                <w:rFonts w:ascii="Garamond" w:hAnsi="Garamond" w:cs="Arial"/>
                <w:b/>
                <w:bCs/>
              </w:rPr>
              <w:t>Art. 7 - Spese di trasporto a carattere sanitario</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La Società rimborsa, in caso di infortunio indennizzabile ai termini della presente polizza i costi eventualmente sostenuti per il trasporto dal luogo dell’infortunio ad un Istituto di Cura attrezzato, il trasporto tra Istituti di Cura e dall’Istituto di Cura al domicilio dell’Assicurato a mezzo auto-ambulanza. Il rimborso avverrà nei limiti del massimale indicato nell’apposita scheda della Sezione 6 e verrà limitato ad un massimo di due viaggi.</w:t>
            </w:r>
          </w:p>
          <w:p w:rsidR="00347F51" w:rsidRPr="00347F51" w:rsidRDefault="00347F51" w:rsidP="00347F51">
            <w:pPr>
              <w:widowControl w:val="0"/>
              <w:autoSpaceDE w:val="0"/>
              <w:autoSpaceDN w:val="0"/>
              <w:adjustRightInd w:val="0"/>
              <w:ind w:left="170" w:right="113"/>
              <w:rPr>
                <w:rFonts w:ascii="Garamond" w:hAnsi="Garamond" w:cs="Arial"/>
                <w:b/>
                <w:bCs/>
              </w:rPr>
            </w:pPr>
            <w:r w:rsidRPr="00347F51">
              <w:rPr>
                <w:rFonts w:ascii="Garamond" w:hAnsi="Garamond" w:cs="Arial"/>
                <w:b/>
                <w:bCs/>
              </w:rPr>
              <w:t>Art. 8 - Rientro sanitario</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La garanzia è estesa al rimborso, fino al limite di € 1.000,00= delle spese sostenute dall'Assicurato in caso di infortunio che lo colpiscano nel corso di una missione o viaggio disposto dal Contraente e che rendano necessario il suo trasporto con qualsiasi mezzo ritenuto idoneo in ospedale attrezzato in Italia.</w:t>
            </w:r>
          </w:p>
          <w:p w:rsidR="00347F51" w:rsidRPr="00347F51" w:rsidRDefault="00347F51" w:rsidP="00347F51">
            <w:pPr>
              <w:widowControl w:val="0"/>
              <w:autoSpaceDE w:val="0"/>
              <w:autoSpaceDN w:val="0"/>
              <w:adjustRightInd w:val="0"/>
              <w:ind w:left="170" w:right="113"/>
              <w:rPr>
                <w:rFonts w:ascii="Garamond" w:hAnsi="Garamond" w:cs="Arial"/>
                <w:b/>
                <w:bCs/>
              </w:rPr>
            </w:pPr>
            <w:r w:rsidRPr="00347F51">
              <w:rPr>
                <w:rFonts w:ascii="Garamond" w:hAnsi="Garamond" w:cs="Arial"/>
                <w:b/>
                <w:bCs/>
              </w:rPr>
              <w:t>Art. 9 - Rimpatrio salma (valido in Italia e all’Estero)</w:t>
            </w:r>
          </w:p>
          <w:p w:rsidR="00347F51" w:rsidRPr="00347F51" w:rsidRDefault="00347F51" w:rsidP="00347F51">
            <w:pPr>
              <w:widowControl w:val="0"/>
              <w:autoSpaceDE w:val="0"/>
              <w:autoSpaceDN w:val="0"/>
              <w:adjustRightInd w:val="0"/>
              <w:ind w:left="170" w:right="113"/>
              <w:rPr>
                <w:rFonts w:ascii="Garamond" w:hAnsi="Garamond" w:cs="Arial"/>
              </w:rPr>
            </w:pPr>
            <w:r w:rsidRPr="00347F51">
              <w:rPr>
                <w:rFonts w:ascii="Garamond" w:hAnsi="Garamond" w:cs="Arial"/>
              </w:rPr>
              <w:t>La garanzia è estesa al rimborso delle spese sostenute per il rimpatrio della salma dell'Assicurato, in caso di decesso a seguito di infortunio o malattia che lo colpiscano nel corso di una missione o viaggio disposto dal Contraente, fino al luogo di sepoltura e ciò fino alla concorrenza di € 1.000,00=.</w:t>
            </w:r>
          </w:p>
          <w:p w:rsidR="00347F51" w:rsidRPr="00347F51" w:rsidRDefault="00347F51" w:rsidP="00347F51">
            <w:pPr>
              <w:widowControl w:val="0"/>
              <w:autoSpaceDE w:val="0"/>
              <w:autoSpaceDN w:val="0"/>
              <w:adjustRightInd w:val="0"/>
              <w:ind w:left="170" w:right="113"/>
              <w:rPr>
                <w:rFonts w:ascii="Garamond" w:hAnsi="Garamond" w:cs="Arial"/>
                <w:b/>
                <w:bCs/>
              </w:rPr>
            </w:pPr>
            <w:r w:rsidRPr="00347F51">
              <w:rPr>
                <w:rFonts w:ascii="Garamond" w:hAnsi="Garamond" w:cs="Arial"/>
                <w:b/>
                <w:bCs/>
              </w:rPr>
              <w:t>Art. 10 - Danni estetici</w:t>
            </w:r>
          </w:p>
          <w:p w:rsidR="00347F51" w:rsidRPr="00347F51" w:rsidRDefault="00347F51" w:rsidP="00347F51">
            <w:pPr>
              <w:rPr>
                <w:rFonts w:ascii="Garamond" w:hAnsi="Garamond"/>
              </w:rPr>
            </w:pPr>
            <w:r w:rsidRPr="00347F51">
              <w:rPr>
                <w:rFonts w:ascii="Garamond" w:hAnsi="Garamond" w:cs="Arial"/>
              </w:rPr>
              <w:t>Si conviene che in caso di infortunio non escluso dalle Condizioni della presente polizza, che produca conseguenze di carattere estetico al viso, ma che non comporti indennizzo a titolo di invalidità permanente, la Società rimborserà comunque le spese documentate sostenute dall'Assicurato per cure ed applicazioni effettuate allo scopo di ridurre od eliminare il danno estetico, nonché per interventi di chirurgia plastica ed estetica, il tutto entro il limite di € 5.000,00.= per evento</w:t>
            </w:r>
          </w:p>
        </w:tc>
        <w:tc>
          <w:tcPr>
            <w:tcW w:w="993" w:type="dxa"/>
            <w:tcBorders>
              <w:top w:val="single" w:sz="4" w:space="0" w:color="000000"/>
              <w:left w:val="single" w:sz="2" w:space="0" w:color="000000"/>
              <w:right w:val="single" w:sz="2" w:space="0" w:color="000000"/>
            </w:tcBorders>
            <w:vAlign w:val="center"/>
          </w:tcPr>
          <w:p w:rsidR="00347F51" w:rsidRPr="00737FFE" w:rsidRDefault="00347F51"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20</w:t>
            </w:r>
          </w:p>
        </w:tc>
        <w:tc>
          <w:tcPr>
            <w:tcW w:w="1701" w:type="dxa"/>
            <w:tcBorders>
              <w:top w:val="single" w:sz="4" w:space="0" w:color="000000"/>
              <w:left w:val="single" w:sz="2" w:space="0" w:color="000000"/>
              <w:right w:val="double" w:sz="4" w:space="0" w:color="auto"/>
            </w:tcBorders>
          </w:tcPr>
          <w:p w:rsidR="00347F51" w:rsidRDefault="00347F51" w:rsidP="00692C62">
            <w:pPr>
              <w:pStyle w:val="Standard"/>
              <w:spacing w:after="0" w:line="320" w:lineRule="exact"/>
              <w:ind w:left="86" w:right="217"/>
              <w:jc w:val="center"/>
              <w:rPr>
                <w:rFonts w:ascii="Garamond" w:hAnsi="Garamond"/>
                <w:sz w:val="20"/>
                <w:szCs w:val="20"/>
                <w:lang w:val="it-IT"/>
              </w:rPr>
            </w:pPr>
          </w:p>
        </w:tc>
      </w:tr>
      <w:tr w:rsidR="00347F51" w:rsidRPr="00BF19D1" w:rsidTr="00692C62">
        <w:trPr>
          <w:trHeight w:val="397"/>
        </w:trPr>
        <w:tc>
          <w:tcPr>
            <w:tcW w:w="567" w:type="dxa"/>
            <w:vMerge w:val="restart"/>
            <w:tcBorders>
              <w:top w:val="double" w:sz="4" w:space="0" w:color="auto"/>
              <w:left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3</w:t>
            </w:r>
          </w:p>
        </w:tc>
        <w:tc>
          <w:tcPr>
            <w:tcW w:w="1985" w:type="dxa"/>
            <w:vMerge w:val="restart"/>
            <w:tcBorders>
              <w:top w:val="double" w:sz="4" w:space="0" w:color="auto"/>
              <w:left w:val="single" w:sz="2" w:space="0" w:color="000000"/>
              <w:right w:val="single" w:sz="2" w:space="0" w:color="000000"/>
            </w:tcBorders>
            <w:vAlign w:val="center"/>
          </w:tcPr>
          <w:p w:rsidR="00347F51" w:rsidRPr="00B55371" w:rsidRDefault="00347F51" w:rsidP="00347F51">
            <w:pPr>
              <w:pStyle w:val="Standard"/>
              <w:spacing w:after="0" w:line="320" w:lineRule="exact"/>
              <w:ind w:left="35" w:right="217"/>
              <w:rPr>
                <w:rFonts w:ascii="Garamond" w:hAnsi="Garamond"/>
                <w:sz w:val="20"/>
                <w:szCs w:val="20"/>
                <w:lang w:val="it-IT"/>
              </w:rPr>
            </w:pPr>
            <w:r>
              <w:rPr>
                <w:rFonts w:ascii="Garamond" w:hAnsi="Garamond" w:cs="Arial"/>
                <w:bCs/>
                <w:sz w:val="20"/>
                <w:szCs w:val="20"/>
                <w:lang w:val="it-IT"/>
              </w:rPr>
              <w:t>L</w:t>
            </w:r>
            <w:r w:rsidRPr="00B55371">
              <w:rPr>
                <w:rFonts w:ascii="Garamond" w:hAnsi="Garamond" w:cs="Arial"/>
                <w:bCs/>
                <w:sz w:val="20"/>
                <w:szCs w:val="20"/>
                <w:lang w:val="it-IT"/>
              </w:rPr>
              <w:t>ettera c) dell’Art. 2 della SEZIONE 5</w:t>
            </w:r>
          </w:p>
        </w:tc>
        <w:tc>
          <w:tcPr>
            <w:tcW w:w="4819" w:type="dxa"/>
            <w:tcBorders>
              <w:top w:val="double" w:sz="4" w:space="0" w:color="auto"/>
              <w:left w:val="single" w:sz="2" w:space="0" w:color="000000"/>
              <w:bottom w:val="single" w:sz="4" w:space="0" w:color="auto"/>
              <w:right w:val="single" w:sz="2" w:space="0" w:color="000000"/>
            </w:tcBorders>
            <w:vAlign w:val="center"/>
          </w:tcPr>
          <w:p w:rsidR="00347F51" w:rsidRPr="00347F51" w:rsidRDefault="00347F51" w:rsidP="00347F51">
            <w:pPr>
              <w:widowControl w:val="0"/>
              <w:autoSpaceDE w:val="0"/>
              <w:autoSpaceDN w:val="0"/>
              <w:adjustRightInd w:val="0"/>
              <w:rPr>
                <w:rFonts w:ascii="Garamond" w:hAnsi="Garamond"/>
              </w:rPr>
            </w:pPr>
            <w:r w:rsidRPr="00347F51">
              <w:rPr>
                <w:rFonts w:ascii="Garamond" w:hAnsi="Garamond" w:cs="Arial"/>
                <w:b/>
              </w:rPr>
              <w:t>Opzione di polizza</w:t>
            </w:r>
            <w:r w:rsidRPr="00347F51">
              <w:rPr>
                <w:rFonts w:ascii="Garamond" w:hAnsi="Garamond" w:cs="Arial"/>
              </w:rPr>
              <w:t xml:space="preserve">: in caso di valutazione della Invalidità Permanente di grado pari o superiore al </w:t>
            </w:r>
            <w:r w:rsidRPr="00347F51">
              <w:rPr>
                <w:rFonts w:ascii="Garamond" w:hAnsi="Garamond" w:cs="Arial"/>
                <w:b/>
                <w:bCs/>
              </w:rPr>
              <w:t>60 %</w:t>
            </w:r>
            <w:r w:rsidRPr="00347F51">
              <w:rPr>
                <w:rFonts w:ascii="Garamond" w:hAnsi="Garamond" w:cs="Arial"/>
              </w:rPr>
              <w:t xml:space="preserve"> verrà liquidata una somma pari al 100 % della somma assicurata</w:t>
            </w:r>
          </w:p>
        </w:tc>
        <w:tc>
          <w:tcPr>
            <w:tcW w:w="993" w:type="dxa"/>
            <w:tcBorders>
              <w:top w:val="double" w:sz="4" w:space="0" w:color="auto"/>
              <w:left w:val="single" w:sz="2" w:space="0" w:color="000000"/>
              <w:bottom w:val="sing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0</w:t>
            </w:r>
          </w:p>
        </w:tc>
        <w:tc>
          <w:tcPr>
            <w:tcW w:w="1701" w:type="dxa"/>
            <w:tcBorders>
              <w:top w:val="double" w:sz="4" w:space="0" w:color="auto"/>
              <w:left w:val="single" w:sz="2" w:space="0" w:color="000000"/>
              <w:bottom w:val="single" w:sz="4" w:space="0" w:color="auto"/>
              <w:right w:val="double" w:sz="4" w:space="0" w:color="auto"/>
            </w:tcBorders>
          </w:tcPr>
          <w:p w:rsidR="00347F51" w:rsidRPr="00BF19D1" w:rsidRDefault="00347F51" w:rsidP="00692C62">
            <w:pPr>
              <w:pStyle w:val="Standard"/>
              <w:spacing w:after="0" w:line="320" w:lineRule="exact"/>
              <w:ind w:left="86" w:right="217"/>
              <w:jc w:val="center"/>
              <w:rPr>
                <w:rFonts w:ascii="Garamond" w:hAnsi="Garamond"/>
                <w:sz w:val="20"/>
                <w:szCs w:val="20"/>
                <w:lang w:val="it-IT"/>
              </w:rPr>
            </w:pPr>
          </w:p>
        </w:tc>
      </w:tr>
      <w:tr w:rsidR="00347F51" w:rsidRPr="00BF19D1" w:rsidTr="00692C62">
        <w:trPr>
          <w:trHeight w:val="397"/>
        </w:trPr>
        <w:tc>
          <w:tcPr>
            <w:tcW w:w="567" w:type="dxa"/>
            <w:vMerge/>
            <w:tcBorders>
              <w:top w:val="double" w:sz="4" w:space="0" w:color="auto"/>
              <w:left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p>
        </w:tc>
        <w:tc>
          <w:tcPr>
            <w:tcW w:w="1985" w:type="dxa"/>
            <w:vMerge/>
            <w:tcBorders>
              <w:top w:val="double" w:sz="4" w:space="0" w:color="auto"/>
              <w:left w:val="single" w:sz="2" w:space="0" w:color="000000"/>
              <w:right w:val="single" w:sz="2" w:space="0" w:color="000000"/>
            </w:tcBorders>
            <w:vAlign w:val="center"/>
          </w:tcPr>
          <w:p w:rsidR="00347F51" w:rsidRPr="00BF19D1" w:rsidRDefault="00347F51" w:rsidP="00692C62">
            <w:pPr>
              <w:pStyle w:val="Standard"/>
              <w:spacing w:after="0" w:line="320" w:lineRule="exact"/>
              <w:ind w:left="35" w:right="217"/>
              <w:rPr>
                <w:rFonts w:ascii="Garamond" w:hAnsi="Garamond"/>
                <w:sz w:val="20"/>
                <w:szCs w:val="20"/>
                <w:lang w:val="it-IT"/>
              </w:rPr>
            </w:pPr>
          </w:p>
        </w:tc>
        <w:tc>
          <w:tcPr>
            <w:tcW w:w="4819" w:type="dxa"/>
            <w:tcBorders>
              <w:top w:val="single" w:sz="4" w:space="0" w:color="auto"/>
              <w:left w:val="single" w:sz="2" w:space="0" w:color="000000"/>
              <w:bottom w:val="single" w:sz="2" w:space="0" w:color="000000"/>
              <w:right w:val="single" w:sz="2" w:space="0" w:color="000000"/>
            </w:tcBorders>
            <w:vAlign w:val="center"/>
          </w:tcPr>
          <w:p w:rsidR="00347F51" w:rsidRPr="00347F51" w:rsidRDefault="00347F51" w:rsidP="00347F51">
            <w:pPr>
              <w:rPr>
                <w:rFonts w:ascii="Garamond" w:hAnsi="Garamond"/>
              </w:rPr>
            </w:pPr>
            <w:r w:rsidRPr="00347F51">
              <w:rPr>
                <w:rFonts w:ascii="Garamond" w:hAnsi="Garamond"/>
                <w:b/>
              </w:rPr>
              <w:t>Variante 1):</w:t>
            </w:r>
            <w:r w:rsidRPr="00347F51">
              <w:rPr>
                <w:rFonts w:ascii="Garamond" w:hAnsi="Garamond"/>
              </w:rPr>
              <w:t xml:space="preserve"> in caso di valutazione della Invalidità Permanente di grado pari o superiore al 50 % verrà liquidata una somma pari al 100 % della somma assicurata</w:t>
            </w:r>
          </w:p>
        </w:tc>
        <w:tc>
          <w:tcPr>
            <w:tcW w:w="993" w:type="dxa"/>
            <w:tcBorders>
              <w:top w:val="single" w:sz="4" w:space="0" w:color="auto"/>
              <w:left w:val="single" w:sz="2" w:space="0" w:color="000000"/>
              <w:bottom w:val="single" w:sz="2" w:space="0" w:color="000000"/>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1</w:t>
            </w:r>
            <w:r>
              <w:rPr>
                <w:rFonts w:ascii="Garamond" w:hAnsi="Garamond"/>
                <w:sz w:val="20"/>
                <w:szCs w:val="20"/>
                <w:lang w:val="it-IT"/>
              </w:rPr>
              <w:t>5</w:t>
            </w:r>
          </w:p>
        </w:tc>
        <w:tc>
          <w:tcPr>
            <w:tcW w:w="1701" w:type="dxa"/>
            <w:tcBorders>
              <w:top w:val="single" w:sz="4" w:space="0" w:color="auto"/>
              <w:left w:val="single" w:sz="2" w:space="0" w:color="000000"/>
              <w:bottom w:val="single" w:sz="2" w:space="0" w:color="000000"/>
              <w:right w:val="double" w:sz="4" w:space="0" w:color="auto"/>
            </w:tcBorders>
          </w:tcPr>
          <w:p w:rsidR="00347F51" w:rsidRPr="00BF19D1" w:rsidRDefault="00347F51" w:rsidP="00692C62">
            <w:pPr>
              <w:pStyle w:val="Standard"/>
              <w:spacing w:after="0" w:line="320" w:lineRule="exact"/>
              <w:ind w:left="86" w:right="217"/>
              <w:jc w:val="center"/>
              <w:rPr>
                <w:rFonts w:ascii="Garamond" w:hAnsi="Garamond"/>
                <w:sz w:val="20"/>
                <w:szCs w:val="20"/>
                <w:lang w:val="it-IT"/>
              </w:rPr>
            </w:pPr>
          </w:p>
        </w:tc>
      </w:tr>
      <w:tr w:rsidR="00347F51" w:rsidRPr="00BF19D1" w:rsidTr="00692C62">
        <w:trPr>
          <w:trHeight w:val="397"/>
        </w:trPr>
        <w:tc>
          <w:tcPr>
            <w:tcW w:w="567" w:type="dxa"/>
            <w:vMerge w:val="restart"/>
            <w:tcBorders>
              <w:top w:val="double" w:sz="4" w:space="0" w:color="auto"/>
              <w:left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4</w:t>
            </w:r>
          </w:p>
        </w:tc>
        <w:tc>
          <w:tcPr>
            <w:tcW w:w="1985" w:type="dxa"/>
            <w:vMerge w:val="restart"/>
            <w:tcBorders>
              <w:top w:val="double" w:sz="4" w:space="0" w:color="auto"/>
              <w:left w:val="single" w:sz="2" w:space="0" w:color="000000"/>
              <w:right w:val="single" w:sz="2" w:space="0" w:color="000000"/>
            </w:tcBorders>
            <w:vAlign w:val="center"/>
          </w:tcPr>
          <w:p w:rsidR="00347F51" w:rsidRPr="00692C62" w:rsidRDefault="00347F51" w:rsidP="00692C62">
            <w:pPr>
              <w:rPr>
                <w:rFonts w:ascii="Garamond" w:hAnsi="Garamond"/>
              </w:rPr>
            </w:pPr>
            <w:r w:rsidRPr="00721138">
              <w:rPr>
                <w:rFonts w:ascii="Garamond" w:hAnsi="Garamond" w:cs="Arial"/>
                <w:bCs/>
              </w:rPr>
              <w:t>Limite per evento catastrofale</w:t>
            </w:r>
          </w:p>
        </w:tc>
        <w:tc>
          <w:tcPr>
            <w:tcW w:w="4819" w:type="dxa"/>
            <w:tcBorders>
              <w:top w:val="double" w:sz="4" w:space="0" w:color="auto"/>
              <w:left w:val="single" w:sz="2" w:space="0" w:color="000000"/>
              <w:bottom w:val="single" w:sz="4" w:space="0" w:color="auto"/>
              <w:right w:val="single" w:sz="2" w:space="0" w:color="000000"/>
            </w:tcBorders>
            <w:vAlign w:val="center"/>
          </w:tcPr>
          <w:p w:rsidR="00347F51" w:rsidRPr="00347F51" w:rsidRDefault="00347F51" w:rsidP="00347F51">
            <w:pPr>
              <w:widowControl w:val="0"/>
              <w:autoSpaceDE w:val="0"/>
              <w:autoSpaceDN w:val="0"/>
              <w:adjustRightInd w:val="0"/>
              <w:rPr>
                <w:rFonts w:ascii="Garamond" w:hAnsi="Garamond"/>
              </w:rPr>
            </w:pPr>
            <w:r w:rsidRPr="00347F51">
              <w:rPr>
                <w:rFonts w:ascii="Garamond" w:hAnsi="Garamond" w:cs="Arial"/>
                <w:b/>
                <w:bCs/>
              </w:rPr>
              <w:t xml:space="preserve">Limite per evento catastrofale previsto in polizza: </w:t>
            </w:r>
            <w:r w:rsidRPr="00347F51">
              <w:rPr>
                <w:rFonts w:ascii="Garamond" w:hAnsi="Garamond" w:cs="Arial"/>
              </w:rPr>
              <w:t>Euro 6.000.000,00</w:t>
            </w:r>
          </w:p>
        </w:tc>
        <w:tc>
          <w:tcPr>
            <w:tcW w:w="993" w:type="dxa"/>
            <w:tcBorders>
              <w:top w:val="double" w:sz="4" w:space="0" w:color="auto"/>
              <w:left w:val="single" w:sz="2" w:space="0" w:color="000000"/>
              <w:bottom w:val="sing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sidRPr="00BF19D1">
              <w:rPr>
                <w:rFonts w:ascii="Garamond" w:hAnsi="Garamond"/>
                <w:sz w:val="20"/>
                <w:szCs w:val="20"/>
                <w:lang w:val="it-IT"/>
              </w:rPr>
              <w:t>0</w:t>
            </w:r>
          </w:p>
        </w:tc>
        <w:tc>
          <w:tcPr>
            <w:tcW w:w="1701" w:type="dxa"/>
            <w:tcBorders>
              <w:top w:val="double" w:sz="4" w:space="0" w:color="auto"/>
              <w:left w:val="single" w:sz="2" w:space="0" w:color="000000"/>
              <w:bottom w:val="single" w:sz="4" w:space="0" w:color="auto"/>
              <w:right w:val="double" w:sz="4" w:space="0" w:color="auto"/>
            </w:tcBorders>
          </w:tcPr>
          <w:p w:rsidR="00347F51" w:rsidRDefault="00347F51" w:rsidP="00692C62">
            <w:pPr>
              <w:pStyle w:val="Standard"/>
              <w:spacing w:after="0" w:line="320" w:lineRule="exact"/>
              <w:ind w:left="86" w:right="217"/>
              <w:jc w:val="center"/>
              <w:rPr>
                <w:rFonts w:ascii="Garamond" w:hAnsi="Garamond"/>
                <w:sz w:val="20"/>
                <w:szCs w:val="20"/>
                <w:lang w:val="it-IT"/>
              </w:rPr>
            </w:pPr>
          </w:p>
        </w:tc>
      </w:tr>
      <w:tr w:rsidR="00347F51" w:rsidRPr="00BF19D1" w:rsidTr="00692C62">
        <w:trPr>
          <w:trHeight w:val="397"/>
        </w:trPr>
        <w:tc>
          <w:tcPr>
            <w:tcW w:w="567" w:type="dxa"/>
            <w:vMerge/>
            <w:tcBorders>
              <w:left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p>
        </w:tc>
        <w:tc>
          <w:tcPr>
            <w:tcW w:w="1985" w:type="dxa"/>
            <w:vMerge/>
            <w:tcBorders>
              <w:left w:val="single" w:sz="2" w:space="0" w:color="000000"/>
              <w:right w:val="single" w:sz="2" w:space="0" w:color="000000"/>
            </w:tcBorders>
            <w:vAlign w:val="center"/>
          </w:tcPr>
          <w:p w:rsidR="00347F51" w:rsidRPr="00BF19D1" w:rsidRDefault="00347F51" w:rsidP="00692C62"/>
        </w:tc>
        <w:tc>
          <w:tcPr>
            <w:tcW w:w="4819" w:type="dxa"/>
            <w:tcBorders>
              <w:top w:val="single" w:sz="4" w:space="0" w:color="auto"/>
              <w:left w:val="single" w:sz="2" w:space="0" w:color="000000"/>
              <w:bottom w:val="single" w:sz="4" w:space="0" w:color="auto"/>
              <w:right w:val="single" w:sz="2" w:space="0" w:color="000000"/>
            </w:tcBorders>
            <w:vAlign w:val="center"/>
          </w:tcPr>
          <w:p w:rsidR="00347F51" w:rsidRPr="00347F51" w:rsidRDefault="00347F51" w:rsidP="00347F51">
            <w:pPr>
              <w:widowControl w:val="0"/>
              <w:autoSpaceDE w:val="0"/>
              <w:autoSpaceDN w:val="0"/>
              <w:adjustRightInd w:val="0"/>
              <w:rPr>
                <w:rFonts w:ascii="Garamond" w:hAnsi="Garamond" w:cs="Arial"/>
                <w:b/>
                <w:bCs/>
              </w:rPr>
            </w:pPr>
            <w:r w:rsidRPr="00347F51">
              <w:rPr>
                <w:rFonts w:ascii="Garamond" w:hAnsi="Garamond"/>
                <w:b/>
              </w:rPr>
              <w:t>Variante 1)</w:t>
            </w:r>
            <w:r w:rsidRPr="00347F51">
              <w:rPr>
                <w:rFonts w:ascii="Garamond" w:hAnsi="Garamond"/>
              </w:rPr>
              <w:t xml:space="preserve">: </w:t>
            </w:r>
            <w:r w:rsidRPr="00347F51">
              <w:rPr>
                <w:rFonts w:ascii="Garamond" w:hAnsi="Garamond" w:cs="Arial"/>
                <w:b/>
                <w:bCs/>
              </w:rPr>
              <w:t xml:space="preserve">Limite per evento catastrofale: </w:t>
            </w:r>
            <w:r w:rsidRPr="00347F51">
              <w:rPr>
                <w:rFonts w:ascii="Garamond" w:hAnsi="Garamond" w:cs="Arial"/>
              </w:rPr>
              <w:t>Euro 10.000.000,00</w:t>
            </w:r>
          </w:p>
        </w:tc>
        <w:tc>
          <w:tcPr>
            <w:tcW w:w="993" w:type="dxa"/>
            <w:tcBorders>
              <w:top w:val="single" w:sz="4" w:space="0" w:color="auto"/>
              <w:left w:val="single" w:sz="2" w:space="0" w:color="000000"/>
              <w:bottom w:val="sing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20</w:t>
            </w:r>
          </w:p>
        </w:tc>
        <w:tc>
          <w:tcPr>
            <w:tcW w:w="1701" w:type="dxa"/>
            <w:tcBorders>
              <w:top w:val="single" w:sz="4" w:space="0" w:color="auto"/>
              <w:left w:val="single" w:sz="2" w:space="0" w:color="000000"/>
              <w:bottom w:val="single" w:sz="4" w:space="0" w:color="auto"/>
              <w:right w:val="double" w:sz="4" w:space="0" w:color="auto"/>
            </w:tcBorders>
          </w:tcPr>
          <w:p w:rsidR="00347F51" w:rsidRDefault="00347F51" w:rsidP="00692C62">
            <w:pPr>
              <w:pStyle w:val="Standard"/>
              <w:spacing w:after="0" w:line="320" w:lineRule="exact"/>
              <w:ind w:left="86" w:right="217"/>
              <w:jc w:val="center"/>
              <w:rPr>
                <w:rFonts w:ascii="Garamond" w:hAnsi="Garamond"/>
                <w:sz w:val="20"/>
                <w:szCs w:val="20"/>
                <w:lang w:val="it-IT"/>
              </w:rPr>
            </w:pPr>
          </w:p>
        </w:tc>
      </w:tr>
      <w:tr w:rsidR="00347F51" w:rsidRPr="00BF19D1" w:rsidTr="00692C62">
        <w:trPr>
          <w:trHeight w:val="397"/>
        </w:trPr>
        <w:tc>
          <w:tcPr>
            <w:tcW w:w="567" w:type="dxa"/>
            <w:vMerge/>
            <w:tcBorders>
              <w:left w:val="double" w:sz="4" w:space="0" w:color="auto"/>
              <w:bottom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p>
        </w:tc>
        <w:tc>
          <w:tcPr>
            <w:tcW w:w="1985" w:type="dxa"/>
            <w:vMerge/>
            <w:tcBorders>
              <w:left w:val="single" w:sz="2" w:space="0" w:color="000000"/>
              <w:bottom w:val="double" w:sz="4" w:space="0" w:color="auto"/>
              <w:right w:val="single" w:sz="2" w:space="0" w:color="000000"/>
            </w:tcBorders>
            <w:vAlign w:val="center"/>
          </w:tcPr>
          <w:p w:rsidR="00347F51" w:rsidRPr="00BF19D1" w:rsidRDefault="00347F51" w:rsidP="00692C62"/>
        </w:tc>
        <w:tc>
          <w:tcPr>
            <w:tcW w:w="4819" w:type="dxa"/>
            <w:tcBorders>
              <w:top w:val="single" w:sz="4" w:space="0" w:color="auto"/>
              <w:left w:val="single" w:sz="2" w:space="0" w:color="000000"/>
              <w:bottom w:val="double" w:sz="4" w:space="0" w:color="auto"/>
              <w:right w:val="single" w:sz="2" w:space="0" w:color="000000"/>
            </w:tcBorders>
            <w:vAlign w:val="center"/>
          </w:tcPr>
          <w:p w:rsidR="00347F51" w:rsidRPr="00347F51" w:rsidRDefault="00347F51" w:rsidP="00347F51">
            <w:pPr>
              <w:pStyle w:val="Standard"/>
              <w:spacing w:after="0" w:line="320" w:lineRule="exact"/>
              <w:ind w:left="35" w:right="217"/>
              <w:rPr>
                <w:rFonts w:ascii="Garamond" w:hAnsi="Garamond"/>
                <w:sz w:val="20"/>
                <w:szCs w:val="20"/>
                <w:lang w:val="it-IT"/>
              </w:rPr>
            </w:pPr>
            <w:r w:rsidRPr="00347F51">
              <w:rPr>
                <w:rFonts w:ascii="Garamond" w:hAnsi="Garamond"/>
                <w:b/>
                <w:sz w:val="20"/>
                <w:szCs w:val="20"/>
                <w:lang w:val="it-IT"/>
              </w:rPr>
              <w:t>Variante 2)</w:t>
            </w:r>
            <w:r w:rsidRPr="00347F51">
              <w:rPr>
                <w:rFonts w:ascii="Garamond" w:hAnsi="Garamond"/>
                <w:sz w:val="20"/>
                <w:szCs w:val="20"/>
                <w:lang w:val="it-IT"/>
              </w:rPr>
              <w:t xml:space="preserve">: </w:t>
            </w:r>
            <w:r w:rsidRPr="00347F51">
              <w:rPr>
                <w:rFonts w:ascii="Garamond" w:hAnsi="Garamond" w:cs="Arial"/>
                <w:b/>
                <w:bCs/>
                <w:sz w:val="20"/>
                <w:szCs w:val="20"/>
                <w:lang w:val="it-IT"/>
              </w:rPr>
              <w:t xml:space="preserve">Limite per evento catastrofale: </w:t>
            </w:r>
            <w:r w:rsidRPr="00347F51">
              <w:rPr>
                <w:rFonts w:ascii="Garamond" w:hAnsi="Garamond" w:cs="Arial"/>
                <w:sz w:val="20"/>
                <w:szCs w:val="20"/>
                <w:lang w:val="it-IT"/>
              </w:rPr>
              <w:t>Euro 15.000.000,00</w:t>
            </w:r>
          </w:p>
        </w:tc>
        <w:tc>
          <w:tcPr>
            <w:tcW w:w="993" w:type="dxa"/>
            <w:tcBorders>
              <w:top w:val="single" w:sz="4" w:space="0" w:color="auto"/>
              <w:left w:val="single" w:sz="2" w:space="0" w:color="000000"/>
              <w:bottom w:val="double" w:sz="4" w:space="0" w:color="auto"/>
              <w:right w:val="single" w:sz="2" w:space="0" w:color="000000"/>
            </w:tcBorders>
            <w:vAlign w:val="center"/>
          </w:tcPr>
          <w:p w:rsidR="00347F51" w:rsidRPr="00BF19D1" w:rsidRDefault="00347F51" w:rsidP="00692C62">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30</w:t>
            </w:r>
          </w:p>
        </w:tc>
        <w:tc>
          <w:tcPr>
            <w:tcW w:w="1701" w:type="dxa"/>
            <w:tcBorders>
              <w:top w:val="single" w:sz="4" w:space="0" w:color="auto"/>
              <w:left w:val="single" w:sz="2" w:space="0" w:color="000000"/>
              <w:bottom w:val="double" w:sz="4" w:space="0" w:color="auto"/>
              <w:right w:val="double" w:sz="4" w:space="0" w:color="auto"/>
            </w:tcBorders>
          </w:tcPr>
          <w:p w:rsidR="00347F51" w:rsidRDefault="00347F51" w:rsidP="00692C62">
            <w:pPr>
              <w:pStyle w:val="Standard"/>
              <w:spacing w:after="0" w:line="320" w:lineRule="exact"/>
              <w:ind w:left="86" w:right="217"/>
              <w:jc w:val="center"/>
              <w:rPr>
                <w:rFonts w:ascii="Garamond" w:hAnsi="Garamond"/>
                <w:sz w:val="20"/>
                <w:szCs w:val="20"/>
                <w:lang w:val="it-IT"/>
              </w:rPr>
            </w:pPr>
          </w:p>
        </w:tc>
      </w:tr>
    </w:tbl>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B36AD3">
        <w:rPr>
          <w:rFonts w:ascii="Calibri" w:hAnsi="Calibri"/>
          <w:b/>
          <w:bCs/>
          <w:i/>
          <w:iCs/>
        </w:rPr>
        <w:t>7</w:t>
      </w:r>
      <w:r w:rsidR="00281FF2">
        <w:rPr>
          <w:rFonts w:ascii="Calibri" w:hAnsi="Calibri"/>
          <w:b/>
          <w:bCs/>
          <w:i/>
          <w:iCs/>
        </w:rPr>
        <w:t>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52545A" w:rsidRDefault="0052545A">
      <w:pPr>
        <w:spacing w:after="200" w:line="276" w:lineRule="auto"/>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rsidR="00347F51" w:rsidRPr="00347F51" w:rsidRDefault="00347F51" w:rsidP="00347F51">
      <w:pPr>
        <w:widowControl w:val="0"/>
        <w:autoSpaceDE w:val="0"/>
        <w:autoSpaceDN w:val="0"/>
        <w:adjustRightInd w:val="0"/>
        <w:ind w:right="74"/>
        <w:jc w:val="both"/>
        <w:rPr>
          <w:rFonts w:asciiTheme="minorHAnsi" w:hAnsiTheme="minorHAnsi" w:cs="Arial"/>
          <w:b/>
          <w:bCs/>
          <w:sz w:val="24"/>
          <w:szCs w:val="24"/>
        </w:rPr>
      </w:pPr>
      <w:r w:rsidRPr="00347F51">
        <w:rPr>
          <w:rFonts w:asciiTheme="minorHAnsi" w:hAnsiTheme="minorHAnsi" w:cs="Arial"/>
          <w:b/>
          <w:bCs/>
          <w:sz w:val="24"/>
          <w:szCs w:val="24"/>
        </w:rPr>
        <w:lastRenderedPageBreak/>
        <w:t>A titolo di collaborazione, si chiede di indicare anche i seguenti premi lordi annui per le singole partite assicurate, facendo tuttavia presente che eventuali incongruenze rispetto al ribasso sul premio lordo annuo complessivo offerto non rilevano ai fini dell’aggiudicazione.</w:t>
      </w:r>
    </w:p>
    <w:p w:rsidR="00347F51" w:rsidRPr="00347F51" w:rsidRDefault="00347F51" w:rsidP="00347F51">
      <w:pPr>
        <w:widowControl w:val="0"/>
        <w:autoSpaceDE w:val="0"/>
        <w:autoSpaceDN w:val="0"/>
        <w:adjustRightInd w:val="0"/>
        <w:ind w:right="74"/>
        <w:jc w:val="both"/>
        <w:rPr>
          <w:rFonts w:asciiTheme="minorHAnsi" w:hAnsiTheme="minorHAnsi" w:cs="Arial"/>
          <w:b/>
          <w:bCs/>
          <w:sz w:val="24"/>
          <w:szCs w:val="24"/>
        </w:rPr>
      </w:pPr>
    </w:p>
    <w:tbl>
      <w:tblPr>
        <w:tblW w:w="9464" w:type="dxa"/>
        <w:tblBorders>
          <w:top w:val="nil"/>
          <w:left w:val="nil"/>
          <w:right w:val="nil"/>
        </w:tblBorders>
        <w:tblLayout w:type="fixed"/>
        <w:tblLook w:val="0000"/>
      </w:tblPr>
      <w:tblGrid>
        <w:gridCol w:w="2518"/>
        <w:gridCol w:w="1559"/>
        <w:gridCol w:w="1418"/>
        <w:gridCol w:w="1701"/>
        <w:gridCol w:w="2268"/>
      </w:tblGrid>
      <w:tr w:rsidR="00347F51" w:rsidRPr="00347F51" w:rsidTr="00347F51">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Categoria</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Dato Variabile</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Dato</w:t>
            </w:r>
          </w:p>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Preventivo</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Premio unitario lordo in Euro</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347F51">
              <w:rPr>
                <w:rFonts w:asciiTheme="minorHAnsi" w:hAnsiTheme="minorHAnsi" w:cs="Arial"/>
                <w:b/>
                <w:bCs/>
                <w:sz w:val="24"/>
                <w:szCs w:val="24"/>
              </w:rPr>
              <w:t>Premio lordo annuo anticipato in Euro</w:t>
            </w: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r w:rsidRPr="00347F51">
              <w:rPr>
                <w:rFonts w:asciiTheme="minorHAnsi" w:hAnsiTheme="minorHAnsi" w:cs="Arial"/>
                <w:sz w:val="24"/>
                <w:szCs w:val="24"/>
              </w:rPr>
              <w:t>A) Sindaco</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N. Assicurati</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1</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r w:rsidRPr="00347F51">
              <w:rPr>
                <w:rFonts w:asciiTheme="minorHAnsi" w:hAnsiTheme="minorHAnsi" w:cs="Arial"/>
                <w:sz w:val="24"/>
                <w:szCs w:val="24"/>
              </w:rPr>
              <w:t>B) Assessori Comunali</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 xml:space="preserve">N. Assicurati </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6</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r w:rsidRPr="00347F51">
              <w:rPr>
                <w:rFonts w:asciiTheme="minorHAnsi" w:hAnsiTheme="minorHAnsi" w:cs="Arial"/>
                <w:sz w:val="24"/>
                <w:szCs w:val="24"/>
              </w:rPr>
              <w:t>C) Consiglieri Comunali</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N. Assicurati</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24</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ind w:left="284" w:hanging="284"/>
              <w:rPr>
                <w:rFonts w:asciiTheme="minorHAnsi" w:hAnsiTheme="minorHAnsi" w:cs="Arial"/>
                <w:sz w:val="24"/>
                <w:szCs w:val="24"/>
              </w:rPr>
            </w:pPr>
            <w:r w:rsidRPr="00347F51">
              <w:rPr>
                <w:rFonts w:asciiTheme="minorHAnsi" w:hAnsiTheme="minorHAnsi" w:cs="Arial"/>
                <w:sz w:val="24"/>
                <w:szCs w:val="24"/>
              </w:rPr>
              <w:t>D) Minori in affidamento</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 xml:space="preserve">N. Assicurati </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17</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r w:rsidRPr="00347F51">
              <w:rPr>
                <w:rFonts w:asciiTheme="minorHAnsi" w:hAnsiTheme="minorHAnsi" w:cs="Arial"/>
                <w:sz w:val="24"/>
                <w:szCs w:val="24"/>
              </w:rPr>
              <w:t>E) Alunni asili nido</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N. Assicurati</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96</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166"/>
                <w:tab w:val="left" w:pos="6198"/>
              </w:tabs>
              <w:autoSpaceDE w:val="0"/>
              <w:autoSpaceDN w:val="0"/>
              <w:adjustRightInd w:val="0"/>
              <w:ind w:left="283" w:hanging="283"/>
              <w:rPr>
                <w:rFonts w:asciiTheme="minorHAnsi" w:hAnsiTheme="minorHAnsi" w:cs="Arial"/>
                <w:sz w:val="24"/>
                <w:szCs w:val="24"/>
              </w:rPr>
            </w:pPr>
            <w:r w:rsidRPr="00347F51">
              <w:rPr>
                <w:rFonts w:asciiTheme="minorHAnsi" w:hAnsiTheme="minorHAnsi" w:cs="Arial"/>
                <w:sz w:val="24"/>
                <w:szCs w:val="24"/>
              </w:rPr>
              <w:t>F) Conducenti veicoli e natanti dell’Ente</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N. veicoli e natanti</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42</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166"/>
                <w:tab w:val="left" w:pos="6198"/>
              </w:tabs>
              <w:autoSpaceDE w:val="0"/>
              <w:autoSpaceDN w:val="0"/>
              <w:adjustRightInd w:val="0"/>
              <w:ind w:left="283" w:hanging="283"/>
              <w:rPr>
                <w:rFonts w:asciiTheme="minorHAnsi" w:hAnsiTheme="minorHAnsi" w:cs="Arial"/>
                <w:sz w:val="24"/>
                <w:szCs w:val="24"/>
              </w:rPr>
            </w:pPr>
            <w:r w:rsidRPr="00347F51">
              <w:rPr>
                <w:rFonts w:asciiTheme="minorHAnsi" w:hAnsiTheme="minorHAnsi" w:cs="Arial"/>
                <w:sz w:val="24"/>
                <w:szCs w:val="24"/>
              </w:rPr>
              <w:t>G) Conducenti veicoli e natanti non dell’Ente</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Percorrenza annua in km</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2.000</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p>
        </w:tc>
      </w:tr>
      <w:tr w:rsidR="00347F51" w:rsidRPr="00347F51" w:rsidTr="00347F51">
        <w:tblPrEx>
          <w:tblBorders>
            <w:top w:val="none" w:sz="0" w:space="0" w:color="auto"/>
          </w:tblBorders>
        </w:tblPrEx>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166"/>
                <w:tab w:val="left" w:pos="6198"/>
              </w:tabs>
              <w:autoSpaceDE w:val="0"/>
              <w:autoSpaceDN w:val="0"/>
              <w:adjustRightInd w:val="0"/>
              <w:ind w:left="283" w:hanging="283"/>
              <w:rPr>
                <w:rFonts w:asciiTheme="minorHAnsi" w:hAnsiTheme="minorHAnsi" w:cs="Arial"/>
                <w:sz w:val="24"/>
                <w:szCs w:val="24"/>
              </w:rPr>
            </w:pPr>
            <w:r w:rsidRPr="00347F51">
              <w:rPr>
                <w:rFonts w:asciiTheme="minorHAnsi" w:hAnsiTheme="minorHAnsi" w:cs="Arial"/>
                <w:sz w:val="24"/>
                <w:szCs w:val="24"/>
              </w:rPr>
              <w:t>H) Volontari del servizio di protezione civile</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N. Assicurati</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38</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p>
        </w:tc>
      </w:tr>
      <w:tr w:rsidR="00347F51" w:rsidRPr="00347F51" w:rsidTr="00347F51">
        <w:tc>
          <w:tcPr>
            <w:tcW w:w="25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166"/>
                <w:tab w:val="left" w:pos="6198"/>
              </w:tabs>
              <w:autoSpaceDE w:val="0"/>
              <w:autoSpaceDN w:val="0"/>
              <w:adjustRightInd w:val="0"/>
              <w:ind w:left="283" w:hanging="283"/>
              <w:rPr>
                <w:rFonts w:asciiTheme="minorHAnsi" w:hAnsiTheme="minorHAnsi" w:cs="Arial"/>
                <w:sz w:val="24"/>
                <w:szCs w:val="24"/>
              </w:rPr>
            </w:pPr>
            <w:r w:rsidRPr="00347F51">
              <w:rPr>
                <w:rFonts w:asciiTheme="minorHAnsi" w:hAnsiTheme="minorHAnsi" w:cs="Arial"/>
                <w:sz w:val="24"/>
                <w:szCs w:val="24"/>
              </w:rPr>
              <w:t>I)  Partecipanti centri estivi comunali</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 xml:space="preserve">N. Assicurati </w:t>
            </w:r>
          </w:p>
        </w:tc>
        <w:tc>
          <w:tcPr>
            <w:tcW w:w="14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r w:rsidRPr="00347F51">
              <w:rPr>
                <w:rFonts w:asciiTheme="minorHAnsi" w:hAnsiTheme="minorHAnsi" w:cs="Arial"/>
                <w:sz w:val="24"/>
                <w:szCs w:val="24"/>
              </w:rPr>
              <w:t>289</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47F51" w:rsidRPr="00347F51" w:rsidRDefault="00347F51" w:rsidP="00347F51">
            <w:pPr>
              <w:widowControl w:val="0"/>
              <w:tabs>
                <w:tab w:val="left" w:pos="2449"/>
                <w:tab w:val="left" w:pos="6481"/>
              </w:tabs>
              <w:autoSpaceDE w:val="0"/>
              <w:autoSpaceDN w:val="0"/>
              <w:adjustRightInd w:val="0"/>
              <w:jc w:val="center"/>
              <w:rPr>
                <w:rFonts w:asciiTheme="minorHAnsi" w:hAnsiTheme="minorHAnsi" w:cs="Arial"/>
                <w:sz w:val="24"/>
                <w:szCs w:val="24"/>
              </w:rPr>
            </w:pPr>
          </w:p>
        </w:tc>
      </w:tr>
    </w:tbl>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81FF2"/>
    <w:rsid w:val="002C7FEF"/>
    <w:rsid w:val="0030232B"/>
    <w:rsid w:val="003039B8"/>
    <w:rsid w:val="00310065"/>
    <w:rsid w:val="00327F42"/>
    <w:rsid w:val="00347F51"/>
    <w:rsid w:val="003730C5"/>
    <w:rsid w:val="003B2FF4"/>
    <w:rsid w:val="003B5E77"/>
    <w:rsid w:val="003D3769"/>
    <w:rsid w:val="003D72BB"/>
    <w:rsid w:val="004044FE"/>
    <w:rsid w:val="0043538A"/>
    <w:rsid w:val="00443CAE"/>
    <w:rsid w:val="004749F6"/>
    <w:rsid w:val="00494C4B"/>
    <w:rsid w:val="004A2118"/>
    <w:rsid w:val="004B0B9C"/>
    <w:rsid w:val="004F601F"/>
    <w:rsid w:val="00500BB9"/>
    <w:rsid w:val="0051120E"/>
    <w:rsid w:val="005147C8"/>
    <w:rsid w:val="0052545A"/>
    <w:rsid w:val="00526D02"/>
    <w:rsid w:val="005369BF"/>
    <w:rsid w:val="005560FD"/>
    <w:rsid w:val="00557092"/>
    <w:rsid w:val="0056190A"/>
    <w:rsid w:val="005640E1"/>
    <w:rsid w:val="005917E4"/>
    <w:rsid w:val="00593557"/>
    <w:rsid w:val="005A786C"/>
    <w:rsid w:val="006132C7"/>
    <w:rsid w:val="006238CC"/>
    <w:rsid w:val="00642C95"/>
    <w:rsid w:val="00654122"/>
    <w:rsid w:val="00692C62"/>
    <w:rsid w:val="006E5D73"/>
    <w:rsid w:val="006E6627"/>
    <w:rsid w:val="006F7298"/>
    <w:rsid w:val="007062D7"/>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79D1"/>
    <w:rsid w:val="009A76DA"/>
    <w:rsid w:val="009E33CB"/>
    <w:rsid w:val="00A40450"/>
    <w:rsid w:val="00A43DA9"/>
    <w:rsid w:val="00A67785"/>
    <w:rsid w:val="00AD428A"/>
    <w:rsid w:val="00B03256"/>
    <w:rsid w:val="00B36AD3"/>
    <w:rsid w:val="00B60788"/>
    <w:rsid w:val="00BB70F6"/>
    <w:rsid w:val="00BC4624"/>
    <w:rsid w:val="00C13155"/>
    <w:rsid w:val="00C23CE1"/>
    <w:rsid w:val="00C44F08"/>
    <w:rsid w:val="00C70D27"/>
    <w:rsid w:val="00D27419"/>
    <w:rsid w:val="00D66A05"/>
    <w:rsid w:val="00D86799"/>
    <w:rsid w:val="00D9176A"/>
    <w:rsid w:val="00DE2C0A"/>
    <w:rsid w:val="00E25124"/>
    <w:rsid w:val="00E624D5"/>
    <w:rsid w:val="00E85AA4"/>
    <w:rsid w:val="00EF43ED"/>
    <w:rsid w:val="00F05090"/>
    <w:rsid w:val="00F07A54"/>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0B6B-2933-4474-BDA9-04D66C1F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943</Words>
  <Characters>5378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4</cp:revision>
  <dcterms:created xsi:type="dcterms:W3CDTF">2018-10-22T10:14:00Z</dcterms:created>
  <dcterms:modified xsi:type="dcterms:W3CDTF">2018-10-22T10:34:00Z</dcterms:modified>
</cp:coreProperties>
</file>